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CDD3" w14:textId="2A1C9DF2" w:rsidR="002B5FFE" w:rsidRPr="002B5FFE" w:rsidRDefault="002B5FFE" w:rsidP="002B5FF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2B5FFE">
        <w:rPr>
          <w:rFonts w:ascii="GHEA Grapalat" w:hAnsi="GHEA Grapalat"/>
          <w:sz w:val="16"/>
          <w:szCs w:val="16"/>
        </w:rPr>
        <w:t xml:space="preserve">Հավելված N </w:t>
      </w:r>
      <w:r w:rsidRPr="002B5FFE">
        <w:rPr>
          <w:rFonts w:ascii="GHEA Grapalat" w:hAnsi="GHEA Grapalat"/>
          <w:sz w:val="16"/>
          <w:szCs w:val="16"/>
          <w:lang w:val="hy-AM"/>
        </w:rPr>
        <w:t>38</w:t>
      </w:r>
    </w:p>
    <w:p w14:paraId="3534DC70" w14:textId="77777777" w:rsidR="002B5FFE" w:rsidRPr="002B5FFE" w:rsidRDefault="002B5FFE" w:rsidP="002B5FFE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2B5FFE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7F984C9" w14:textId="77777777" w:rsidR="002B5FFE" w:rsidRPr="002B5FFE" w:rsidRDefault="002B5FFE" w:rsidP="002B5FFE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2B5FFE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50C4496" w14:textId="4A67F387" w:rsidR="00AC6008" w:rsidRPr="002B5FFE" w:rsidRDefault="002B5FFE" w:rsidP="002B5FF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2B5FFE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42AFE0FE" w14:textId="77777777" w:rsidR="00A95DB5" w:rsidRPr="002B5FFE" w:rsidRDefault="00A95DB5" w:rsidP="00AC6008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366F00B3" w:rsidR="00A95DB5" w:rsidRPr="002B5FFE" w:rsidRDefault="00405588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2B5FFE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235B003" w14:textId="77777777" w:rsidR="00A95DB5" w:rsidRPr="002B5FFE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2B5FFE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B5FFE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09D40D7F" w:rsidR="00B67BEF" w:rsidRPr="002B5FFE" w:rsidRDefault="00AA626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  <w:r w:rsidRPr="002B5FFE">
        <w:rPr>
          <w:rFonts w:ascii="GHEA Grapalat" w:hAnsi="GHEA Grapalat"/>
          <w:b/>
          <w:sz w:val="24"/>
          <w:szCs w:val="24"/>
        </w:rPr>
        <w:t>ԱՐ</w:t>
      </w:r>
      <w:r w:rsidR="00F84D4D" w:rsidRPr="002B5FFE">
        <w:rPr>
          <w:rFonts w:ascii="GHEA Grapalat" w:hAnsi="GHEA Grapalat"/>
          <w:b/>
          <w:sz w:val="24"/>
          <w:szCs w:val="24"/>
        </w:rPr>
        <w:t xml:space="preserve">ՄԱՎԻՐԻ </w:t>
      </w:r>
      <w:r w:rsidRPr="002B5FFE">
        <w:rPr>
          <w:rFonts w:ascii="GHEA Grapalat" w:hAnsi="GHEA Grapalat"/>
          <w:b/>
          <w:sz w:val="24"/>
          <w:szCs w:val="24"/>
        </w:rPr>
        <w:t>ՄԱՐԶԱՅԻՆ</w:t>
      </w:r>
      <w:r w:rsidR="00021FAF" w:rsidRPr="002B5FFE">
        <w:rPr>
          <w:rFonts w:ascii="GHEA Grapalat" w:hAnsi="GHEA Grapalat"/>
          <w:b/>
          <w:sz w:val="24"/>
          <w:szCs w:val="24"/>
        </w:rPr>
        <w:t xml:space="preserve"> ՄԱՐՄՆԻ </w:t>
      </w:r>
      <w:r w:rsidR="00AC6AD0" w:rsidRPr="002B5FF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ԿՐՏՍԵՐ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2B5FFE" w14:paraId="5C63D788" w14:textId="77777777" w:rsidTr="00883147">
        <w:tc>
          <w:tcPr>
            <w:tcW w:w="9468" w:type="dxa"/>
          </w:tcPr>
          <w:p w14:paraId="2580E1D1" w14:textId="77777777" w:rsidR="00883147" w:rsidRPr="002B5FFE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2B5FFE" w14:paraId="18254710" w14:textId="77777777" w:rsidTr="00883147">
        <w:tc>
          <w:tcPr>
            <w:tcW w:w="9468" w:type="dxa"/>
          </w:tcPr>
          <w:p w14:paraId="33580698" w14:textId="77777777" w:rsidR="009A2811" w:rsidRPr="002B5FFE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3DF58A29" w:rsidR="009A2811" w:rsidRPr="002B5FFE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/>
                <w:sz w:val="24"/>
                <w:szCs w:val="24"/>
              </w:rPr>
              <w:t xml:space="preserve">Պրոբացիայի ծառայության 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2B5FFE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) Արմավիրի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2B5FFE"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FE1CAF" w:rsidRPr="002B5FFE"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630C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</w:t>
            </w:r>
            <w:r w:rsidR="00FE1CAF"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րտսեր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30C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2B5FFE">
              <w:rPr>
                <w:rFonts w:ascii="GHEA Grapalat" w:hAnsi="GHEA Grapalat"/>
                <w:sz w:val="24"/>
                <w:szCs w:val="24"/>
              </w:rPr>
              <w:t>(ծածկագիր՝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12-3-ՊԾ-27.2.գ-</w:t>
            </w:r>
            <w:r w:rsidR="00AC6AD0" w:rsidRPr="002B5FFE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785CEC" w:rsidRPr="002B5FFE">
              <w:rPr>
                <w:rFonts w:ascii="GHEA Grapalat" w:hAnsi="GHEA Grapalat"/>
                <w:sz w:val="24"/>
                <w:szCs w:val="24"/>
                <w:lang w:val="hy-AM"/>
              </w:rPr>
              <w:t>Ծ-1</w:t>
            </w:r>
            <w:r w:rsidRPr="002B5FFE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2B5FFE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1EB58E05" w:rsidR="009A2811" w:rsidRPr="002B5FFE" w:rsidRDefault="00674E43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FE1CAF" w:rsidRPr="002B5FFE">
              <w:rPr>
                <w:rFonts w:ascii="GHEA Grapalat" w:hAnsi="GHEA Grapalat"/>
                <w:sz w:val="24"/>
                <w:szCs w:val="24"/>
                <w:lang w:val="hy-AM"/>
              </w:rPr>
              <w:t>րտսեր</w:t>
            </w:r>
            <w:r w:rsidR="00785CEC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>ծառայողն</w:t>
            </w:r>
            <w:r w:rsidR="009A2811" w:rsidRPr="002B5FFE">
              <w:rPr>
                <w:rFonts w:ascii="GHEA Grapalat" w:hAnsi="GHEA Grapalat"/>
                <w:sz w:val="24"/>
                <w:szCs w:val="24"/>
              </w:rPr>
              <w:t xml:space="preserve"> անմիջական ենթակա և հաշվետու է Մարմնի պետին:</w:t>
            </w:r>
          </w:p>
          <w:p w14:paraId="02903C64" w14:textId="77777777" w:rsidR="009A2811" w:rsidRPr="002B5FFE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1E81F5D9" w:rsidR="009A2811" w:rsidRPr="002B5FFE" w:rsidRDefault="00FE1CAF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Կրտսեր </w:t>
            </w:r>
            <w:r w:rsidR="009A2811"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="009A2811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Մարմնի ավագ 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 w:rsidRPr="002B5FFE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2B5FFE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7777777" w:rsidR="00883147" w:rsidRPr="002B5FFE" w:rsidRDefault="00021FAF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AA626B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</w:t>
            </w:r>
            <w:r w:rsidR="00F84D4D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րմավիրի </w:t>
            </w:r>
            <w:r w:rsidR="00AA626B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մարզ, ք. </w:t>
            </w:r>
            <w:r w:rsidR="00F84D4D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Էջմիածին</w:t>
            </w:r>
            <w:r w:rsidR="00AA626B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F84D4D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Կամոյի 15</w:t>
            </w:r>
            <w:r w:rsidR="00AA626B" w:rsidRPr="002B5FFE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2867BB" w:rsidRPr="00405588" w14:paraId="76BF1DBA" w14:textId="77777777" w:rsidTr="00883147">
        <w:tc>
          <w:tcPr>
            <w:tcW w:w="9468" w:type="dxa"/>
          </w:tcPr>
          <w:p w14:paraId="6923EEA0" w14:textId="2D8DD08B" w:rsidR="002867BB" w:rsidRPr="002B5FFE" w:rsidRDefault="00785CEC" w:rsidP="00785CEC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106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2B5FFE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2867BB" w:rsidRPr="002B5FFE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2B5FFE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0F1E2C0" w14:textId="0FE890A1" w:rsidR="009A2811" w:rsidRPr="002B5FFE" w:rsidRDefault="00754A1D" w:rsidP="00674E43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D353D"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A9492C6" w14:textId="0FC7A127" w:rsidR="009A2811" w:rsidRPr="002B5FFE" w:rsidRDefault="00754A1D" w:rsidP="00674E43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FD353D" w:rsidRPr="002B5FFE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30CFAA85" w14:textId="19D02911" w:rsidR="009A2811" w:rsidRPr="002B5FFE" w:rsidRDefault="00754A1D" w:rsidP="00674E43">
            <w:pPr>
              <w:pStyle w:val="a4"/>
              <w:numPr>
                <w:ilvl w:val="0"/>
                <w:numId w:val="6"/>
              </w:numPr>
              <w:tabs>
                <w:tab w:val="left" w:pos="889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83540B"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04B0E91E" w14:textId="40794167" w:rsidR="009A2811" w:rsidRPr="002B5FFE" w:rsidRDefault="00754A1D" w:rsidP="00674E43">
            <w:pPr>
              <w:pStyle w:val="a4"/>
              <w:numPr>
                <w:ilvl w:val="0"/>
                <w:numId w:val="6"/>
              </w:numPr>
              <w:tabs>
                <w:tab w:val="left" w:pos="851"/>
                <w:tab w:val="left" w:pos="889"/>
              </w:tabs>
              <w:autoSpaceDE w:val="0"/>
              <w:autoSpaceDN w:val="0"/>
              <w:adjustRightInd w:val="0"/>
              <w:spacing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D353D"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պրոբացիայի շահառուի վերաբերյալ զեկույցների, 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հաշվետվությունների և միջնորդությունների տրամադրումը.</w:t>
            </w:r>
          </w:p>
          <w:p w14:paraId="11EBDD26" w14:textId="052CBA8C" w:rsidR="009A2811" w:rsidRPr="002B5FFE" w:rsidRDefault="00754A1D" w:rsidP="00674E43">
            <w:pPr>
              <w:pStyle w:val="a4"/>
              <w:numPr>
                <w:ilvl w:val="0"/>
                <w:numId w:val="6"/>
              </w:numPr>
              <w:tabs>
                <w:tab w:val="left" w:pos="889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83540B"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9A2811" w:rsidRPr="002B5FF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39DB09A4" w14:textId="77777777" w:rsidR="00E16BC7" w:rsidRPr="002B5FFE" w:rsidRDefault="00E16BC7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14:paraId="5F7AB714" w14:textId="2A5B61CD" w:rsidR="002867BB" w:rsidRPr="002B5FFE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2B5FFE" w:rsidRDefault="002867BB" w:rsidP="00674E43">
            <w:pPr>
              <w:numPr>
                <w:ilvl w:val="0"/>
                <w:numId w:val="6"/>
              </w:numPr>
              <w:tabs>
                <w:tab w:val="left" w:pos="450"/>
                <w:tab w:val="left" w:pos="889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2B5FFE" w:rsidRDefault="002867BB" w:rsidP="00674E43">
            <w:pPr>
              <w:numPr>
                <w:ilvl w:val="0"/>
                <w:numId w:val="6"/>
              </w:numPr>
              <w:tabs>
                <w:tab w:val="left" w:pos="450"/>
                <w:tab w:val="left" w:pos="889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44A8B4CB" w:rsidR="002867BB" w:rsidRPr="002B5FFE" w:rsidRDefault="00674E43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կատարել</w:t>
            </w:r>
            <w:r w:rsidR="002867BB"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2867BB" w:rsidRPr="002B5FF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77777777" w:rsidR="002867BB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2B5FFE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77777777" w:rsidR="002867BB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07C139CE" w14:textId="77777777" w:rsidR="002867BB" w:rsidRPr="002B5FFE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2B5FFE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Պարտականությունները՝ </w:t>
            </w:r>
          </w:p>
          <w:p w14:paraId="14CBD3C9" w14:textId="77777777" w:rsidR="00DD3C40" w:rsidRPr="002B5FFE" w:rsidRDefault="00DD3C40" w:rsidP="00DD3C40">
            <w:pPr>
              <w:pStyle w:val="a6"/>
              <w:numPr>
                <w:ilvl w:val="0"/>
                <w:numId w:val="8"/>
              </w:numPr>
              <w:tabs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6A8871B3" w14:textId="77777777" w:rsidR="00DD3C40" w:rsidRPr="002B5FFE" w:rsidRDefault="00DD3C40" w:rsidP="00DD3C40">
            <w:pPr>
              <w:pStyle w:val="a6"/>
              <w:numPr>
                <w:ilvl w:val="0"/>
                <w:numId w:val="8"/>
              </w:numPr>
              <w:tabs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3FFE0821" w:rsidR="002867BB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BFDC5AF" w14:textId="77777777" w:rsidR="002867BB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01FB654A" w14:textId="172CB4E7" w:rsidR="002867BB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5166FB2F" w14:textId="3DFC85E7" w:rsidR="00674E43" w:rsidRPr="002B5FFE" w:rsidRDefault="002867BB" w:rsidP="00674E43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2B5FF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2B5FF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2B5FF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</w:tc>
      </w:tr>
      <w:tr w:rsidR="002867BB" w:rsidRPr="00405588" w14:paraId="48CE670F" w14:textId="77777777" w:rsidTr="00883147">
        <w:tc>
          <w:tcPr>
            <w:tcW w:w="9468" w:type="dxa"/>
          </w:tcPr>
          <w:p w14:paraId="1CE458BE" w14:textId="12E11337" w:rsidR="002867BB" w:rsidRPr="002B5FFE" w:rsidRDefault="007F142E" w:rsidP="007F142E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2B5FFE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2867BB"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2B5FFE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2B5F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2B5FFE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Calibri" w:hAnsi="GHEA Grapalat"/>
                <w:sz w:val="24"/>
                <w:szCs w:val="24"/>
                <w:lang w:val="hy-AM"/>
              </w:rPr>
              <w:lastRenderedPageBreak/>
              <w:t>Ունի գործառույթների իրականացման համար անհրաժեշտ գիտելիքներ</w:t>
            </w:r>
            <w:r w:rsidR="005C7878" w:rsidRPr="002B5FFE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Pr="002B5FFE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88A32DE" w14:textId="70FD5FFD" w:rsidR="00E16BC7" w:rsidRPr="002B5FFE" w:rsidRDefault="00366067" w:rsidP="00544178">
            <w:pPr>
              <w:spacing w:line="360" w:lineRule="auto"/>
              <w:ind w:firstLine="46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2867BB" w:rsidRPr="00405588" w14:paraId="6B34E699" w14:textId="77777777" w:rsidTr="00883147">
        <w:tc>
          <w:tcPr>
            <w:tcW w:w="9468" w:type="dxa"/>
          </w:tcPr>
          <w:p w14:paraId="31548051" w14:textId="28A3E02B" w:rsidR="002867BB" w:rsidRPr="002B5FFE" w:rsidRDefault="007F142E" w:rsidP="007F142E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</w:t>
            </w:r>
            <w:r w:rsidRPr="002B5FF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6817E8F" w14:textId="66D1BE3E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2B5FF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AC6AD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B5F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AC6AD0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AC6AD0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61A9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4017A"/>
    <w:rsid w:val="00084243"/>
    <w:rsid w:val="00092AD7"/>
    <w:rsid w:val="000C1D4D"/>
    <w:rsid w:val="000E3DB1"/>
    <w:rsid w:val="000E51DB"/>
    <w:rsid w:val="000F4851"/>
    <w:rsid w:val="00104324"/>
    <w:rsid w:val="001070E3"/>
    <w:rsid w:val="00121F49"/>
    <w:rsid w:val="00125058"/>
    <w:rsid w:val="001409E4"/>
    <w:rsid w:val="00162E8F"/>
    <w:rsid w:val="0016678F"/>
    <w:rsid w:val="0017335A"/>
    <w:rsid w:val="001A336C"/>
    <w:rsid w:val="001B2389"/>
    <w:rsid w:val="001B4FC8"/>
    <w:rsid w:val="001C026A"/>
    <w:rsid w:val="00204615"/>
    <w:rsid w:val="00216DA5"/>
    <w:rsid w:val="00227D19"/>
    <w:rsid w:val="002356C5"/>
    <w:rsid w:val="00247259"/>
    <w:rsid w:val="00276AB6"/>
    <w:rsid w:val="002867BB"/>
    <w:rsid w:val="002A01B3"/>
    <w:rsid w:val="002B1AB0"/>
    <w:rsid w:val="002B5C82"/>
    <w:rsid w:val="002B5FFE"/>
    <w:rsid w:val="002E48E5"/>
    <w:rsid w:val="002F4EDE"/>
    <w:rsid w:val="00314979"/>
    <w:rsid w:val="00320671"/>
    <w:rsid w:val="003344F8"/>
    <w:rsid w:val="00345DA6"/>
    <w:rsid w:val="00351AB7"/>
    <w:rsid w:val="00366067"/>
    <w:rsid w:val="00393E47"/>
    <w:rsid w:val="003A6E27"/>
    <w:rsid w:val="003F44D4"/>
    <w:rsid w:val="00405588"/>
    <w:rsid w:val="0041218F"/>
    <w:rsid w:val="004845D2"/>
    <w:rsid w:val="004A3660"/>
    <w:rsid w:val="004B7066"/>
    <w:rsid w:val="004D1EFB"/>
    <w:rsid w:val="004D6B6A"/>
    <w:rsid w:val="0050392D"/>
    <w:rsid w:val="005054C3"/>
    <w:rsid w:val="00534D1E"/>
    <w:rsid w:val="00544178"/>
    <w:rsid w:val="0055653D"/>
    <w:rsid w:val="0058204F"/>
    <w:rsid w:val="00583864"/>
    <w:rsid w:val="005C5DD3"/>
    <w:rsid w:val="005C7878"/>
    <w:rsid w:val="005C7C4C"/>
    <w:rsid w:val="005E2CD5"/>
    <w:rsid w:val="005F13F5"/>
    <w:rsid w:val="00611FFC"/>
    <w:rsid w:val="0063088E"/>
    <w:rsid w:val="00630C49"/>
    <w:rsid w:val="00632C6A"/>
    <w:rsid w:val="00640D5C"/>
    <w:rsid w:val="006463BE"/>
    <w:rsid w:val="006562AB"/>
    <w:rsid w:val="00662AC9"/>
    <w:rsid w:val="006725B6"/>
    <w:rsid w:val="00674E43"/>
    <w:rsid w:val="00680AFF"/>
    <w:rsid w:val="00683771"/>
    <w:rsid w:val="006904E4"/>
    <w:rsid w:val="00693DA2"/>
    <w:rsid w:val="0069591C"/>
    <w:rsid w:val="0069763F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6EAD"/>
    <w:rsid w:val="00754A1D"/>
    <w:rsid w:val="00773340"/>
    <w:rsid w:val="00776D90"/>
    <w:rsid w:val="00781FB4"/>
    <w:rsid w:val="00785CEC"/>
    <w:rsid w:val="007A5837"/>
    <w:rsid w:val="007A654A"/>
    <w:rsid w:val="007B519A"/>
    <w:rsid w:val="007C48AE"/>
    <w:rsid w:val="007D22C5"/>
    <w:rsid w:val="007F142E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4A51"/>
    <w:rsid w:val="00AC2D94"/>
    <w:rsid w:val="00AC6008"/>
    <w:rsid w:val="00AC6AD0"/>
    <w:rsid w:val="00AC6D3A"/>
    <w:rsid w:val="00AE0350"/>
    <w:rsid w:val="00AE5DDB"/>
    <w:rsid w:val="00AF32A5"/>
    <w:rsid w:val="00B136CF"/>
    <w:rsid w:val="00B279CE"/>
    <w:rsid w:val="00B61E75"/>
    <w:rsid w:val="00B62D8A"/>
    <w:rsid w:val="00B66D3E"/>
    <w:rsid w:val="00B67BEF"/>
    <w:rsid w:val="00BA568A"/>
    <w:rsid w:val="00BA6548"/>
    <w:rsid w:val="00BC1313"/>
    <w:rsid w:val="00BC1F22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F7EA4"/>
    <w:rsid w:val="00D16F14"/>
    <w:rsid w:val="00D407AC"/>
    <w:rsid w:val="00D41A9D"/>
    <w:rsid w:val="00D4468D"/>
    <w:rsid w:val="00D56BFA"/>
    <w:rsid w:val="00D87AFD"/>
    <w:rsid w:val="00DD3C40"/>
    <w:rsid w:val="00E16BC7"/>
    <w:rsid w:val="00E35C7B"/>
    <w:rsid w:val="00E42FBF"/>
    <w:rsid w:val="00E547A1"/>
    <w:rsid w:val="00E6165D"/>
    <w:rsid w:val="00E729F4"/>
    <w:rsid w:val="00E95AEB"/>
    <w:rsid w:val="00EF56D8"/>
    <w:rsid w:val="00F300D5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1CAF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169</cp:revision>
  <cp:lastPrinted>2024-04-02T13:42:00Z</cp:lastPrinted>
  <dcterms:created xsi:type="dcterms:W3CDTF">2019-03-13T10:50:00Z</dcterms:created>
  <dcterms:modified xsi:type="dcterms:W3CDTF">2024-07-03T10:23:00Z</dcterms:modified>
</cp:coreProperties>
</file>